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8556" w14:textId="515284F2" w:rsidR="0074300A" w:rsidRPr="006E1D9A" w:rsidRDefault="00E21262" w:rsidP="00E21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D9A">
        <w:rPr>
          <w:rFonts w:ascii="Times New Roman" w:hAnsi="Times New Roman" w:cs="Times New Roman"/>
          <w:b/>
          <w:bCs/>
          <w:sz w:val="28"/>
          <w:szCs w:val="28"/>
        </w:rPr>
        <w:t>OUG 7/2026</w:t>
      </w:r>
    </w:p>
    <w:p w14:paraId="439B85FB" w14:textId="577B90FA" w:rsidR="00E21262" w:rsidRPr="00F5528F" w:rsidRDefault="00E21262" w:rsidP="00E212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înstrăinarea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dreptului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proprietate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asupra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clădirilor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terenurilor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mijloacelor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transport,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proprietarii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bunurilor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înstrăinează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prezinte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certificate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atestare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fiscală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ateste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achitarea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tuturor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obligațiilor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plată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datorate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local al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unității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administrativ-teritoriale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cărei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rază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află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înregistrat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fiscal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bunul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înstrăinează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atestare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înlocuită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, pe cale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>.</w:t>
      </w:r>
    </w:p>
    <w:p w14:paraId="2F774E6C" w14:textId="6E448012" w:rsidR="00E21262" w:rsidRPr="00F5528F" w:rsidRDefault="00E21262" w:rsidP="00E212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dobândirea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dreptului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proprietate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asupra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clădirilor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terenurilor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mijloacelor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transport,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cumpărătorii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dobândesc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bunurile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trebuie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prezinte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certificate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atestare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fiscală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ateste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achitarea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tuturor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obligațiilor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plată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datorate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local al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unității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administrativ-teritoriale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cărei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rază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își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au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domiciliul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certificatelor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atestare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fiscală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înlocuită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, pe cale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electronică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>.</w:t>
      </w:r>
    </w:p>
    <w:p w14:paraId="1DA486AD" w14:textId="475C5B05" w:rsidR="00E21262" w:rsidRPr="00F5528F" w:rsidRDefault="00E21262" w:rsidP="00E212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Actele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care se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înstrăinează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clădiri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terenuri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respectiv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mijloace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transport, cu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încălcarea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prevederilor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alin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Pr="00F5528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(2), sunt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nule</w:t>
      </w:r>
      <w:proofErr w:type="spellEnd"/>
      <w:r w:rsidRPr="00F5528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F5528F">
        <w:rPr>
          <w:rFonts w:ascii="Times New Roman" w:hAnsi="Times New Roman" w:cs="Times New Roman"/>
          <w:b/>
          <w:bCs/>
          <w:sz w:val="28"/>
          <w:szCs w:val="28"/>
        </w:rPr>
        <w:t>drept</w:t>
      </w:r>
      <w:proofErr w:type="spellEnd"/>
      <w:r w:rsidRPr="00F5528F">
        <w:rPr>
          <w:rFonts w:ascii="Times New Roman" w:hAnsi="Times New Roman" w:cs="Times New Roman"/>
          <w:sz w:val="28"/>
          <w:szCs w:val="28"/>
        </w:rPr>
        <w:t>.</w:t>
      </w:r>
    </w:p>
    <w:p w14:paraId="5A53765C" w14:textId="77777777" w:rsidR="00BA2F8A" w:rsidRPr="006E1D9A" w:rsidRDefault="00BA2F8A" w:rsidP="00BA2F8A">
      <w:pPr>
        <w:pStyle w:val="ListParagraph"/>
        <w:jc w:val="both"/>
        <w:rPr>
          <w:rFonts w:ascii="Times New Roman" w:hAnsi="Times New Roman" w:cs="Times New Roman"/>
        </w:rPr>
      </w:pPr>
    </w:p>
    <w:p w14:paraId="7C98ADA1" w14:textId="77777777" w:rsidR="00BA2F8A" w:rsidRPr="006E1D9A" w:rsidRDefault="00BA2F8A" w:rsidP="00BA2F8A">
      <w:pPr>
        <w:pStyle w:val="ListParagraph"/>
        <w:jc w:val="both"/>
        <w:rPr>
          <w:rFonts w:ascii="Times New Roman" w:hAnsi="Times New Roman" w:cs="Times New Roman"/>
        </w:rPr>
      </w:pPr>
    </w:p>
    <w:p w14:paraId="1650ABD4" w14:textId="77777777" w:rsidR="00BA2F8A" w:rsidRPr="006E1D9A" w:rsidRDefault="00BA2F8A" w:rsidP="00BA2F8A">
      <w:pPr>
        <w:pStyle w:val="ListParagraph"/>
        <w:jc w:val="both"/>
        <w:rPr>
          <w:rFonts w:ascii="Times New Roman" w:hAnsi="Times New Roman" w:cs="Times New Roman"/>
        </w:rPr>
      </w:pPr>
    </w:p>
    <w:p w14:paraId="5829960C" w14:textId="77777777" w:rsidR="001C29B1" w:rsidRPr="000A30F7" w:rsidRDefault="00E21262" w:rsidP="001C29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1D9A">
        <w:rPr>
          <w:rFonts w:ascii="Times New Roman" w:hAnsi="Times New Roman" w:cs="Times New Roman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Organele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a publica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internet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debitorilor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restante, precum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cuantumul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E83DB1" w14:textId="77777777" w:rsidR="00BA2F8A" w:rsidRPr="000A30F7" w:rsidRDefault="00BA2F8A" w:rsidP="00BA2F8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C12BD81" w14:textId="77777777" w:rsidR="00BA2F8A" w:rsidRPr="000A30F7" w:rsidRDefault="00BA2F8A" w:rsidP="00BA2F8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0114462" w14:textId="77777777" w:rsidR="00BA2F8A" w:rsidRPr="000A30F7" w:rsidRDefault="00BA2F8A" w:rsidP="00BA2F8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BADFD7A" w14:textId="7D27AB3D" w:rsidR="00234E94" w:rsidRPr="00A677CF" w:rsidRDefault="001C29B1" w:rsidP="001C29B1">
      <w:pPr>
        <w:pStyle w:val="ListParagraph"/>
        <w:numPr>
          <w:ilvl w:val="0"/>
          <w:numId w:val="1"/>
        </w:numPr>
        <w:jc w:val="both"/>
        <w:rPr>
          <w:rStyle w:val="salnbdy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Începând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cu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drepturile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aferente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lunii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calendaristice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următoare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datei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de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intrare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în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vigoare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a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prezentei</w:t>
      </w:r>
      <w:proofErr w:type="spellEnd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legi</w:t>
      </w:r>
      <w:proofErr w:type="spellEnd"/>
      <w:proofErr w:type="gramStart"/>
      <w:r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,</w:t>
      </w:r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t xml:space="preserve"> ,</w:t>
      </w:r>
      <w:proofErr w:type="gramEnd"/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t>indemnizația</w:t>
      </w:r>
      <w:proofErr w:type="spellEnd"/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proofErr w:type="spellStart"/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t>prevăzută</w:t>
      </w:r>
      <w:proofErr w:type="spellEnd"/>
      <w:r w:rsidRPr="00A677CF">
        <w:rPr>
          <w:rStyle w:val="sal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in </w:t>
      </w:r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5" w:history="1">
        <w:r w:rsidRPr="00A677CF">
          <w:rPr>
            <w:rStyle w:val="Hyperlink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Legea nr. 448/2006</w:t>
        </w:r>
      </w:hyperlink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protecția</w:t>
      </w:r>
      <w:proofErr w:type="spellEnd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promovarea</w:t>
      </w:r>
      <w:proofErr w:type="spellEnd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drepturilor</w:t>
      </w:r>
      <w:proofErr w:type="spellEnd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persoanelor</w:t>
      </w:r>
      <w:proofErr w:type="spellEnd"/>
      <w:r w:rsidRPr="00A677CF">
        <w:rPr>
          <w:rStyle w:val="spar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cu handicap,</w:t>
      </w:r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t xml:space="preserve"> </w:t>
      </w:r>
      <w:r w:rsidR="00751BA4" w:rsidRPr="00A677CF">
        <w:rPr>
          <w:rStyle w:val="salnbdy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E0"/>
        </w:rPr>
        <w:t>INDEMNIZATIA PERSOANEI CU HANDICAP POATE FI EXECUTATĂ SILIT ÎN VEDEREA PLĂȚII IMPOZITELOR ȘI TAXELOR LOCALE NEACHITATE ÎN TERMENUL LEGAL.</w:t>
      </w:r>
    </w:p>
    <w:p w14:paraId="1A4A1857" w14:textId="5D60BE6D" w:rsidR="00045638" w:rsidRPr="00A677CF" w:rsidRDefault="001C29B1" w:rsidP="000456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CF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E0"/>
        </w:rPr>
        <w:lastRenderedPageBreak/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Începând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cu data de 1 a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lunii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următoare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datei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intrare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vigoare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legi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sumele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>acordate</w:t>
      </w:r>
      <w:proofErr w:type="spellEnd"/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4E94" w:rsidRPr="00A677CF">
        <w:rPr>
          <w:rFonts w:ascii="Times New Roman" w:hAnsi="Times New Roman" w:cs="Times New Roman"/>
          <w:b/>
          <w:bCs/>
          <w:sz w:val="28"/>
          <w:szCs w:val="28"/>
        </w:rPr>
        <w:t xml:space="preserve">CU TITLU DE VENIT MINIM DE INCLUZIUNE </w:t>
      </w:r>
      <w:r w:rsidR="00751BA4" w:rsidRPr="00A677CF">
        <w:rPr>
          <w:rFonts w:ascii="Times New Roman" w:hAnsi="Times New Roman" w:cs="Times New Roman"/>
          <w:b/>
          <w:bCs/>
          <w:sz w:val="28"/>
          <w:szCs w:val="28"/>
        </w:rPr>
        <w:t>POT FI EXECUTATE SILIT ÎN VEDEREA PLĂȚII IMPOZITELOR ȘI TAXELOR LOCALE.</w:t>
      </w:r>
    </w:p>
    <w:p w14:paraId="5D17FBD4" w14:textId="77777777" w:rsidR="006E1D9A" w:rsidRPr="00751BA4" w:rsidRDefault="006E1D9A" w:rsidP="006E1D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71BB9" w14:textId="6DB8E0E7" w:rsidR="006E1D9A" w:rsidRPr="00751BA4" w:rsidRDefault="006E1D9A" w:rsidP="006E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BA4">
        <w:rPr>
          <w:rFonts w:ascii="Times New Roman" w:hAnsi="Times New Roman" w:cs="Times New Roman"/>
          <w:b/>
          <w:bCs/>
          <w:sz w:val="28"/>
          <w:szCs w:val="28"/>
        </w:rPr>
        <w:t>OUG 9/2026</w:t>
      </w:r>
    </w:p>
    <w:p w14:paraId="266794C3" w14:textId="77777777" w:rsidR="00751BA4" w:rsidRDefault="00045638" w:rsidP="000456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0F7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impozabilă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clădirii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determinată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BA4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751BA4">
        <w:rPr>
          <w:rFonts w:ascii="Times New Roman" w:hAnsi="Times New Roman" w:cs="Times New Roman"/>
          <w:sz w:val="28"/>
          <w:szCs w:val="28"/>
        </w:rPr>
        <w:t xml:space="preserve"> </w:t>
      </w:r>
      <w:r w:rsidRPr="000A30F7">
        <w:rPr>
          <w:rFonts w:ascii="Times New Roman" w:hAnsi="Times New Roman" w:cs="Times New Roman"/>
          <w:sz w:val="28"/>
          <w:szCs w:val="28"/>
        </w:rPr>
        <w:t>se reduce î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terminării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C699D2" w14:textId="77777777" w:rsidR="00751BA4" w:rsidRPr="00751BA4" w:rsidRDefault="00751BA4" w:rsidP="00751BA4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BA4">
        <w:rPr>
          <w:rFonts w:ascii="Times New Roman" w:hAnsi="Times New Roman" w:cs="Times New Roman"/>
          <w:b/>
          <w:bCs/>
          <w:sz w:val="40"/>
          <w:szCs w:val="40"/>
        </w:rPr>
        <w:t>·</w:t>
      </w:r>
      <w:proofErr w:type="gram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cu</w:t>
      </w:r>
      <w:proofErr w:type="gram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15%,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clădirea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care are o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vechime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cuprinsă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între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50 de ani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100 de ani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inclusiv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, la data de 1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ianuarie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anului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fiscal de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referinţă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</w:p>
    <w:p w14:paraId="0D7E9A12" w14:textId="5E07B719" w:rsidR="00045638" w:rsidRPr="00751BA4" w:rsidRDefault="00751BA4" w:rsidP="00751BA4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BA4">
        <w:rPr>
          <w:rFonts w:ascii="Times New Roman" w:hAnsi="Times New Roman" w:cs="Times New Roman"/>
          <w:b/>
          <w:bCs/>
          <w:sz w:val="52"/>
          <w:szCs w:val="52"/>
        </w:rPr>
        <w:t>·</w:t>
      </w:r>
      <w:proofErr w:type="gram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cu</w:t>
      </w:r>
      <w:proofErr w:type="gram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25 %,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clădirea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care are o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vechime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peste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100 de ani, la data de 1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ianuarie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anului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fiscal de </w:t>
      </w:r>
      <w:proofErr w:type="spellStart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referinţă</w:t>
      </w:r>
      <w:proofErr w:type="spellEnd"/>
      <w:r w:rsidR="00045638" w:rsidRPr="00751B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36343A" w14:textId="77777777" w:rsidR="00045638" w:rsidRPr="000A30F7" w:rsidRDefault="00045638" w:rsidP="0004563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85EB5E1" w14:textId="380B084C" w:rsidR="00045638" w:rsidRPr="000A30F7" w:rsidRDefault="00045638" w:rsidP="000456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clădirii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folosită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ca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aflată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coproprietatea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persoanelor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cu handicap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grav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impozitul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se reduce cu 50%.</w:t>
      </w:r>
    </w:p>
    <w:p w14:paraId="3659E8D7" w14:textId="77777777" w:rsidR="00045638" w:rsidRPr="000A30F7" w:rsidRDefault="00045638" w:rsidP="00045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clădirii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folosită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ca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aflată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coproprietatea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persoanelor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cu handicap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accentuat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accentuat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impozitul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se reduce cu 25%.</w:t>
      </w:r>
    </w:p>
    <w:p w14:paraId="4F3E8B61" w14:textId="491A3BE3" w:rsidR="00045638" w:rsidRPr="000A30F7" w:rsidRDefault="00045638" w:rsidP="000456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terenului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aferent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clădirii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aflat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coproprietatea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persoanelor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cu handicap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grav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impozitul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se reduce cu 50%.</w:t>
      </w:r>
    </w:p>
    <w:p w14:paraId="1479B6BC" w14:textId="77777777" w:rsidR="00045638" w:rsidRPr="00751BA4" w:rsidRDefault="00045638" w:rsidP="00045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terenului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aferent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clădirii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aflat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coproprietatea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persoanelor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cu handicap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accentuat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accentuat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impozitul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se reduce cu 25%.</w:t>
      </w:r>
    </w:p>
    <w:p w14:paraId="2FB7CE2A" w14:textId="77777777" w:rsidR="00045638" w:rsidRPr="000A30F7" w:rsidRDefault="00045638" w:rsidP="00045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mijloacelor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transport cu </w:t>
      </w:r>
      <w:proofErr w:type="gram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capacitate</w:t>
      </w:r>
      <w:proofErr w:type="gram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cilindrică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mai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mică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2.000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cmc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aflate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persoanelor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cu handicap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grav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lastRenderedPageBreak/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grav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impozitul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se reduce cu 50%,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singur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mijloc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transport, la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alegerea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contribuabilului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903380" w14:textId="40950399" w:rsidR="00045638" w:rsidRPr="000A30F7" w:rsidRDefault="00045638" w:rsidP="00045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cazul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mijloacelor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transport cu </w:t>
      </w:r>
      <w:proofErr w:type="gram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capacitate</w:t>
      </w:r>
      <w:proofErr w:type="gram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cilindrică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mai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mică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2.000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cmc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aflate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proprietatea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persoanelor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cu handicap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accentuat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reprezentanţilor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legali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supraveghere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handicap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accentuat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impozitul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se reduce cu 25%,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singur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mijloc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de transport, la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alegerea</w:t>
      </w:r>
      <w:proofErr w:type="spellEnd"/>
      <w:r w:rsidRPr="00751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BA4">
        <w:rPr>
          <w:rFonts w:ascii="Times New Roman" w:hAnsi="Times New Roman" w:cs="Times New Roman"/>
          <w:b/>
          <w:bCs/>
          <w:sz w:val="28"/>
          <w:szCs w:val="28"/>
        </w:rPr>
        <w:t>contribuabilului</w:t>
      </w:r>
      <w:proofErr w:type="spellEnd"/>
    </w:p>
    <w:p w14:paraId="2C8EEC5F" w14:textId="72026863" w:rsidR="00045638" w:rsidRPr="000A30F7" w:rsidRDefault="00045638" w:rsidP="000456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impozitului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proofErr w:type="gramStart"/>
      <w:r w:rsidRPr="000A30F7">
        <w:rPr>
          <w:rFonts w:ascii="Times New Roman" w:hAnsi="Times New Roman" w:cs="Times New Roman"/>
          <w:sz w:val="28"/>
          <w:szCs w:val="28"/>
        </w:rPr>
        <w:t>cladire,</w:t>
      </w:r>
      <w:r w:rsidRPr="000A30F7">
        <w:rPr>
          <w:rFonts w:ascii="Times New Roman" w:hAnsi="Times New Roman" w:cs="Times New Roman"/>
          <w:sz w:val="28"/>
          <w:szCs w:val="28"/>
        </w:rPr>
        <w:t>teren</w:t>
      </w:r>
      <w:proofErr w:type="spellEnd"/>
      <w:proofErr w:type="gram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mijloc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transport </w:t>
      </w:r>
      <w:r w:rsidRPr="000A30F7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justificative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valabile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la data de 31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0F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fiscal anterior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luna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organul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fiscal local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care nu au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beneficiat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scutire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fiscal anterior,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 xml:space="preserve"> cu luna </w:t>
      </w:r>
      <w:proofErr w:type="spellStart"/>
      <w:r w:rsidRPr="000A30F7">
        <w:rPr>
          <w:rFonts w:ascii="Times New Roman" w:hAnsi="Times New Roman" w:cs="Times New Roman"/>
          <w:sz w:val="28"/>
          <w:szCs w:val="28"/>
        </w:rPr>
        <w:t>următoare</w:t>
      </w:r>
      <w:proofErr w:type="spellEnd"/>
      <w:r w:rsidRPr="000A30F7">
        <w:rPr>
          <w:rFonts w:ascii="Times New Roman" w:hAnsi="Times New Roman" w:cs="Times New Roman"/>
          <w:sz w:val="28"/>
          <w:szCs w:val="28"/>
        </w:rPr>
        <w:t>."</w:t>
      </w:r>
    </w:p>
    <w:p w14:paraId="0AB8D451" w14:textId="77777777" w:rsidR="00045638" w:rsidRPr="006E1D9A" w:rsidRDefault="00045638" w:rsidP="00045638">
      <w:pPr>
        <w:jc w:val="both"/>
        <w:rPr>
          <w:rFonts w:ascii="Times New Roman" w:hAnsi="Times New Roman" w:cs="Times New Roman"/>
        </w:rPr>
      </w:pPr>
    </w:p>
    <w:p w14:paraId="4155EC80" w14:textId="77777777" w:rsidR="00045638" w:rsidRPr="006E1D9A" w:rsidRDefault="00045638" w:rsidP="00045638">
      <w:pPr>
        <w:pStyle w:val="ListParagraph"/>
        <w:jc w:val="both"/>
        <w:rPr>
          <w:rStyle w:val="salnbdy"/>
          <w:rFonts w:ascii="Times New Roman" w:hAnsi="Times New Roman" w:cs="Times New Roman"/>
        </w:rPr>
      </w:pPr>
    </w:p>
    <w:p w14:paraId="771ABB83" w14:textId="77777777" w:rsidR="001C29B1" w:rsidRPr="006E1D9A" w:rsidRDefault="001C29B1" w:rsidP="00E21262">
      <w:pPr>
        <w:pStyle w:val="ListParagraph"/>
        <w:jc w:val="both"/>
        <w:rPr>
          <w:rFonts w:ascii="Times New Roman" w:hAnsi="Times New Roman" w:cs="Times New Roman"/>
        </w:rPr>
      </w:pPr>
    </w:p>
    <w:sectPr w:rsidR="001C29B1" w:rsidRPr="006E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F069C"/>
    <w:multiLevelType w:val="hybridMultilevel"/>
    <w:tmpl w:val="BBEC03BC"/>
    <w:lvl w:ilvl="0" w:tplc="3CF878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0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2E"/>
    <w:rsid w:val="00045638"/>
    <w:rsid w:val="000A30F7"/>
    <w:rsid w:val="001C29B1"/>
    <w:rsid w:val="00234E94"/>
    <w:rsid w:val="003B2B29"/>
    <w:rsid w:val="00595E2E"/>
    <w:rsid w:val="006E1D9A"/>
    <w:rsid w:val="0074300A"/>
    <w:rsid w:val="00751BA4"/>
    <w:rsid w:val="00873C27"/>
    <w:rsid w:val="009E3961"/>
    <w:rsid w:val="00A677CF"/>
    <w:rsid w:val="00BA2F8A"/>
    <w:rsid w:val="00C540AB"/>
    <w:rsid w:val="00CF0C5A"/>
    <w:rsid w:val="00E21262"/>
    <w:rsid w:val="00F5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43CD"/>
  <w15:chartTrackingRefBased/>
  <w15:docId w15:val="{6AD2DA21-7A95-42B2-9BBA-F93A1D68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E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E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E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E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E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C29B1"/>
    <w:rPr>
      <w:color w:val="0000FF"/>
      <w:u w:val="single"/>
    </w:rPr>
  </w:style>
  <w:style w:type="character" w:customStyle="1" w:styleId="saln">
    <w:name w:val="s_aln"/>
    <w:basedOn w:val="DefaultParagraphFont"/>
    <w:rsid w:val="001C29B1"/>
  </w:style>
  <w:style w:type="character" w:customStyle="1" w:styleId="salnttl">
    <w:name w:val="s_aln_ttl"/>
    <w:basedOn w:val="DefaultParagraphFont"/>
    <w:rsid w:val="001C29B1"/>
  </w:style>
  <w:style w:type="character" w:customStyle="1" w:styleId="salnbdy">
    <w:name w:val="s_aln_bdy"/>
    <w:basedOn w:val="DefaultParagraphFont"/>
    <w:rsid w:val="001C29B1"/>
  </w:style>
  <w:style w:type="character" w:customStyle="1" w:styleId="spar">
    <w:name w:val="s_par"/>
    <w:basedOn w:val="DefaultParagraphFont"/>
    <w:rsid w:val="001C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305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2026-03-03T06:43:00Z</dcterms:created>
  <dcterms:modified xsi:type="dcterms:W3CDTF">2026-03-03T08:48:00Z</dcterms:modified>
</cp:coreProperties>
</file>